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4" w:rsidRPr="009E2DF1" w:rsidRDefault="007B1304" w:rsidP="007B1304">
      <w:pPr>
        <w:rPr>
          <w:u w:val="single"/>
        </w:rPr>
      </w:pPr>
      <w:r w:rsidRPr="009E2DF1">
        <w:rPr>
          <w:u w:val="single"/>
        </w:rPr>
        <w:t xml:space="preserve">Temat: </w:t>
      </w:r>
      <w:r w:rsidR="001A17E5">
        <w:rPr>
          <w:u w:val="single"/>
        </w:rPr>
        <w:t>D</w:t>
      </w:r>
      <w:r w:rsidR="00885CB6">
        <w:rPr>
          <w:u w:val="single"/>
        </w:rPr>
        <w:t>odatki do żywności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>Definicja dodatków do żywności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 xml:space="preserve">Podział </w:t>
      </w:r>
      <w:r w:rsidR="001A17E5">
        <w:t>ze względu na pochodzenie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>Oznaczanie dodatków do żywności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 xml:space="preserve">Barwniki </w:t>
      </w:r>
    </w:p>
    <w:p w:rsidR="007B1304" w:rsidRDefault="001A17E5" w:rsidP="007B1304">
      <w:pPr>
        <w:pStyle w:val="Akapitzlist"/>
        <w:numPr>
          <w:ilvl w:val="0"/>
          <w:numId w:val="3"/>
        </w:numPr>
      </w:pPr>
      <w:r>
        <w:t xml:space="preserve">Cel </w:t>
      </w:r>
    </w:p>
    <w:p w:rsidR="007B1304" w:rsidRDefault="001A17E5" w:rsidP="007B1304">
      <w:pPr>
        <w:pStyle w:val="Akapitzlist"/>
        <w:numPr>
          <w:ilvl w:val="0"/>
          <w:numId w:val="3"/>
        </w:numPr>
      </w:pPr>
      <w:r>
        <w:t>Przykłady (nazwa barwnika – kolor – z czego otrzymywany)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 xml:space="preserve">Przeciwutleniacze </w:t>
      </w:r>
    </w:p>
    <w:p w:rsidR="007B1304" w:rsidRDefault="001A17E5" w:rsidP="007B1304">
      <w:pPr>
        <w:pStyle w:val="Akapitzlist"/>
        <w:numPr>
          <w:ilvl w:val="0"/>
          <w:numId w:val="4"/>
        </w:numPr>
      </w:pPr>
      <w:r>
        <w:t xml:space="preserve">Cel </w:t>
      </w:r>
    </w:p>
    <w:p w:rsidR="007B1304" w:rsidRDefault="001A17E5" w:rsidP="007B1304">
      <w:pPr>
        <w:pStyle w:val="Akapitzlist"/>
        <w:numPr>
          <w:ilvl w:val="0"/>
          <w:numId w:val="4"/>
        </w:numPr>
      </w:pPr>
      <w:bookmarkStart w:id="0" w:name="_GoBack"/>
      <w:bookmarkEnd w:id="0"/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Substancje konserwujące </w:t>
      </w:r>
      <w:r>
        <w:t xml:space="preserve"> </w:t>
      </w:r>
    </w:p>
    <w:p w:rsidR="001A17E5" w:rsidRDefault="001A17E5" w:rsidP="001A17E5">
      <w:pPr>
        <w:pStyle w:val="Akapitzlist"/>
        <w:numPr>
          <w:ilvl w:val="0"/>
          <w:numId w:val="7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7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>Substancje słodzące</w:t>
      </w:r>
      <w:r>
        <w:t xml:space="preserve"> </w:t>
      </w:r>
    </w:p>
    <w:p w:rsidR="001A17E5" w:rsidRDefault="001A17E5" w:rsidP="001A17E5">
      <w:pPr>
        <w:pStyle w:val="Akapitzlist"/>
        <w:numPr>
          <w:ilvl w:val="0"/>
          <w:numId w:val="8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8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Aromaty </w:t>
      </w:r>
      <w:r>
        <w:t xml:space="preserve"> </w:t>
      </w:r>
    </w:p>
    <w:p w:rsidR="001A17E5" w:rsidRDefault="001A17E5" w:rsidP="001A17E5">
      <w:pPr>
        <w:pStyle w:val="Akapitzlist"/>
        <w:numPr>
          <w:ilvl w:val="0"/>
          <w:numId w:val="9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9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Substancje zagęszczające  </w:t>
      </w:r>
    </w:p>
    <w:p w:rsidR="001A17E5" w:rsidRDefault="001A17E5" w:rsidP="001A17E5">
      <w:pPr>
        <w:pStyle w:val="Akapitzlist"/>
        <w:numPr>
          <w:ilvl w:val="0"/>
          <w:numId w:val="4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4"/>
        </w:numPr>
      </w:pPr>
      <w:r>
        <w:t>przykłady</w:t>
      </w:r>
    </w:p>
    <w:p w:rsidR="007B1304" w:rsidRDefault="001A17E5" w:rsidP="007B1304">
      <w:r>
        <w:t>Podręcznik strona 129 – 133</w:t>
      </w:r>
    </w:p>
    <w:p w:rsidR="00154855" w:rsidRDefault="00154855" w:rsidP="007B1304">
      <w:r>
        <w:t>Zadania do wykonania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>Przeczytaj temat z podręcznika strony 129 – 133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>Zrób notatkę zgodnie z powyższymi punktami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>Otwórz plik pdf – umieszczony na stronie szkoły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 xml:space="preserve">W karcie pracy ucznia wykonaj zadania ze stron 84 </w:t>
      </w:r>
      <w:r w:rsidR="00856C0D">
        <w:t>–</w:t>
      </w:r>
      <w:r>
        <w:t xml:space="preserve"> 89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>Kliknij na ikonkę przedstawiającą pióro (w pasku na górze strony, ikonka 2 od prawej strony) pojawi się możliwość uzupełnienia karty na komputerze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>Po uzupełnieniu kartę zapisz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>Plik nazwij swoim nazwiskiem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 xml:space="preserve">Plik prześlij na adres </w:t>
      </w:r>
      <w:hyperlink r:id="rId5" w:history="1">
        <w:r w:rsidRPr="00B01B47">
          <w:rPr>
            <w:rStyle w:val="Hipercze"/>
          </w:rPr>
          <w:t>atolwinska@op.pl</w:t>
        </w:r>
      </w:hyperlink>
    </w:p>
    <w:p w:rsidR="00856C0D" w:rsidRDefault="00856C0D" w:rsidP="00856C0D">
      <w:pPr>
        <w:pStyle w:val="Akapitzlist"/>
        <w:numPr>
          <w:ilvl w:val="0"/>
          <w:numId w:val="10"/>
        </w:numPr>
      </w:pPr>
      <w:r>
        <w:t>Masz czas do 6 kwietnia (środa) do godz. 15</w:t>
      </w:r>
    </w:p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154855"/>
    <w:rsid w:val="001A17E5"/>
    <w:rsid w:val="006255B4"/>
    <w:rsid w:val="007B1304"/>
    <w:rsid w:val="00856C0D"/>
    <w:rsid w:val="00885CB6"/>
    <w:rsid w:val="008E139A"/>
    <w:rsid w:val="008E7260"/>
    <w:rsid w:val="00911EAD"/>
    <w:rsid w:val="00A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7</cp:revision>
  <dcterms:created xsi:type="dcterms:W3CDTF">2020-03-24T15:54:00Z</dcterms:created>
  <dcterms:modified xsi:type="dcterms:W3CDTF">2020-04-01T14:34:00Z</dcterms:modified>
</cp:coreProperties>
</file>